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6" w:rsidRDefault="009A1EA6" w:rsidP="009A1EA6">
      <w:pPr>
        <w:pStyle w:val="2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Приказ Министерства здравоохранения РФ от 20 апреля 2018 г. N 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9A1EA6" w:rsidRDefault="009A1EA6" w:rsidP="009A1EA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 мая 2018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bookmarkStart w:id="0" w:name="0"/>
      <w:bookmarkEnd w:id="0"/>
      <w:r>
        <w:rPr>
          <w:rFonts w:ascii="Arial" w:hAnsi="Arial" w:cs="Arial"/>
          <w:color w:val="000000"/>
          <w:sz w:val="21"/>
          <w:szCs w:val="21"/>
        </w:rPr>
        <w:t>Приказываю: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Утвердить прилагаемые </w:t>
      </w:r>
      <w:hyperlink r:id="rId5" w:anchor="1000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методические рекомендации</w:t>
        </w:r>
      </w:hyperlink>
      <w:r>
        <w:rPr>
          <w:rFonts w:ascii="Arial" w:hAnsi="Arial" w:cs="Arial"/>
          <w:color w:val="000000"/>
          <w:sz w:val="21"/>
          <w:szCs w:val="21"/>
        </w:rPr>
        <w:t> о применении нормативов и норм ресурсной обеспеченности населения в сфере здравоохранения.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1454"/>
      </w:tblGrid>
      <w:tr w:rsidR="009A1EA6" w:rsidTr="009A1EA6">
        <w:tc>
          <w:tcPr>
            <w:tcW w:w="2500" w:type="pct"/>
            <w:hideMark/>
          </w:tcPr>
          <w:p w:rsidR="009A1EA6" w:rsidRDefault="009A1EA6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9A1EA6" w:rsidRDefault="009A1EA6">
            <w:pPr>
              <w:rPr>
                <w:sz w:val="24"/>
                <w:szCs w:val="24"/>
              </w:rPr>
            </w:pPr>
            <w:r>
              <w:t>В.И. Скворцова</w:t>
            </w:r>
          </w:p>
        </w:tc>
      </w:tr>
    </w:tbl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Утверждены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anchor="0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приказом</w:t>
        </w:r>
      </w:hyperlink>
      <w:r>
        <w:rPr>
          <w:rFonts w:ascii="Arial" w:hAnsi="Arial" w:cs="Arial"/>
          <w:color w:val="000000"/>
          <w:sz w:val="21"/>
          <w:szCs w:val="21"/>
        </w:rPr>
        <w:t> Министерства здравоохранения</w:t>
      </w:r>
      <w:r>
        <w:rPr>
          <w:rFonts w:ascii="Arial" w:hAnsi="Arial" w:cs="Arial"/>
          <w:color w:val="000000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  <w:t>от 20 апреля 2018 N 182</w:t>
      </w:r>
    </w:p>
    <w:p w:rsidR="009A1EA6" w:rsidRDefault="009A1EA6" w:rsidP="009A1EA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Методические рекомендации</w:t>
      </w:r>
      <w:r>
        <w:rPr>
          <w:rFonts w:ascii="Arial" w:hAnsi="Arial" w:cs="Arial"/>
          <w:color w:val="333333"/>
          <w:sz w:val="26"/>
          <w:szCs w:val="26"/>
        </w:rPr>
        <w:br/>
        <w:t>о применении нормативов и норм ресурсной обеспеченности населения в сфере здравоохранения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Настоящие методические рекомендации о применении нормативов и норм ресурсной обеспеченности населения в сфере здравоохранения (далее - методические рекомендации) разработаны в рамках исполнения распоряжения Правительства Российской Федерации от 22 декабря 2017 г. N 2905-р и направлены на оказание методической помощи органам исполнительной власти субъектов Российской Федерации при расчете нормативов и норм ресурсной обеспеченности населения в сфере здравоохранения и определении потребности в медицинских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организациях, расположенных на территории субъекта Российской Федерации, с учетом сложившейся региональной инфраструктуры здравоохранения, уровня обеспеченности объектами здравоохранения, а также кадровой обеспеченности в целях обеспечения доступности медицинской помощи гражданам путем оптимального использования государственных ресурсов и размещения медицинских организаций на территории субъекта Российской Федерации.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Нормы ресурсной обеспеченности населения в сфере здравоохранения рекомендуется рассчитывать с учетом нормативов объемов медицинской помощи в расчете на одного жителя (одно застрахованное лицо), установленных территориальной программой государственных гарантий бесплатного оказания гражданам медицинской помощи (далее - территориальные нормативы объемов медицинской помощи), а также порядков оказания медицинской помощи и стандартов медицинской 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Расчет нормативов и норм ресурсной обеспеченности населения в сфере здравоохранения (далее - нормативы и нормы) при определении потребности в медицинской помощи и медицинских организациях, расположенных на территории субъекта Российской Федерации, рекомендуется проводить в рамках разработки текущих и стратегических планов развития здравоохранения в субъектах Российской Федерации.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Субъекты Российской Федерации на основании методических рекомендаций самостоятельно могут определять возможности применения нормативов и норм в зависимости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особенностей половозрастного состава населения субъекта Российской Федерации;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уровня и структуры заболеваемости населения субъекта Российской Федерации;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уровня и структуры смертности населения субъекта Российской Федерации;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климатических и географических особенностей региона и транспортной доступности медицинских организаций;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сбалансированности объема медицинской помощи, оказываемой в рамках территориальной программы государственных гарантий бесплатного оказания гражданам медицинской 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 оценки использования имеющихся ресурсов здравоохранения и возможности применения нормативов и норм рекомендуется провести анализ следующих плановых и фактических показателей в динамике за прошедшие 3-5 лет: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объем первичной медико-санитарной помощи, оказываемой в амбулаторных условиях, в том числе в неотложной форме, и в условиях дневного стационара;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объем специализированной медицинской помощи, оказываемой в стационарных условиях и в условиях дневного стационара;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объем скорой, в том числе скорой специализированной, медицинской помощи;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объем паллиативной медицинской помощи;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обеспеченность койками дневных стационаров, больничными койками</w:t>
      </w:r>
      <w:hyperlink r:id="rId7" w:anchor="11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*(1)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8" w:anchor="22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*(2)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обеспеченность врачебными кадрами и специалистами со средним профессиональным (медицинским) образованием</w:t>
      </w:r>
      <w:hyperlink r:id="rId9" w:anchor="33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*(3)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0" w:anchor="44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*(4)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и структура смертности и заболеваемости населения.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для оценки деятельности отдельных видов медицинских организаций рекомендуется проводить сравнение плановой и фактической численности обслуживаемого ими населения с учетом его плотности и территориальной доступности медицинской организации.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указанного анализа могут быть сформированы основные требования к планированию сети медицинских организаций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hyperlink r:id="rId11" w:anchor="55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*(5)</w:t>
        </w:r>
      </w:hyperlink>
      <w:r>
        <w:rPr>
          <w:rFonts w:ascii="Arial" w:hAnsi="Arial" w:cs="Arial"/>
          <w:color w:val="000000"/>
          <w:sz w:val="21"/>
          <w:szCs w:val="21"/>
        </w:rPr>
        <w:t> и номенклатуры медицинских организаций</w:t>
      </w:r>
      <w:hyperlink r:id="rId12" w:anchor="66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*(6)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целях соблюдения этапов оказания медицинской помощи, предусмотренных порядками оказания медицинской помощи, планирования рационального размещения медицинских организаций в зависимости от административно-территориальной принадлежности и вида оказываемой медицинской помощи, а также определения нормативов объема медицинской помощи в рамках территориальных программ государственных гарантий бесплатного оказания гражданам медицинской помощи медицинские организации (за исключением медицинских организаций, оказывающих медицинскую помощь по профилю "акушерство-гинекология")</w:t>
      </w:r>
      <w:hyperlink r:id="rId13" w:anchor="77" w:history="1">
        <w:r>
          <w:rPr>
            <w:rStyle w:val="a6"/>
            <w:rFonts w:ascii="Arial" w:hAnsi="Arial" w:cs="Arial"/>
            <w:color w:val="808080"/>
            <w:sz w:val="21"/>
            <w:szCs w:val="21"/>
            <w:bdr w:val="none" w:sz="0" w:space="0" w:color="auto" w:frame="1"/>
          </w:rPr>
          <w:t>*(7)</w:t>
        </w:r>
      </w:hyperlink>
      <w:r>
        <w:rPr>
          <w:rFonts w:ascii="Arial" w:hAnsi="Arial" w:cs="Arial"/>
          <w:color w:val="000000"/>
          <w:sz w:val="21"/>
          <w:szCs w:val="21"/>
        </w:rPr>
        <w:t> могут быть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распределены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трем уровням: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первый уровень - медицинские организации, оказывающие населению муниципального образования, на территории которого расположены: первичную медико-санитарную помощь и (или) паллиативную медицинскую помощь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второй уровень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и (или) диспансеры (противотуберкулезные, психоневрологические, наркологические и иные);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третий уровень - медицинские организации, имеющие в своей структуре подразделения, оказывающие высокотехнологичную медицинскую помощь.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расчете потребности в оказании медицинской помощи рекомендуется учитывать инфраструктуру здравоохранения и территорию обслуживания медицинских организаций, оказывающих первичную медико-санитарную помощь, специализированную, в том числе высокотехнологичную, медицинскую помощь, скорую, в том числе скорую специализированную медицинскую помощь, расположенных в граничащих субъектах Российской Федерации, с возможностью планирования объемов медицинской помощи в рамках межтерриториального взаимодействия.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Для определения потребности в мощностях медицинских организаций, оказывающих медицинскую помощь в условиях дневного стационара и в стационарных условиях, рекомендуется проводить расчеты обеспеченности коечным фондом по каждому профилю медицинской 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Обеспеченность коечным фондом (К) медицинских организаций, оказывающих медицинскую помощь в стационарных условиях, рассчитывается следующим образом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90575" cy="390525"/>
            <wp:effectExtent l="19050" t="0" r="9525" b="0"/>
            <wp:docPr id="1" name="Рисунок 1" descr="http://www.garant.ru/files/0/5/1198050/pict22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0/5/1198050/pict22-7184412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,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число койко-дней на 1 000 жителей (произведение уровня госпитализации на 1 000 жителей на средние сроки лечения 1-го больного в стационаре);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 - численность населения;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 - среднегодовая занятость койки.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данной методики рекомендуется определять абсолютное количество коек, необходимое для реализации территориальной программы государственных гарантий бесплатного оказания гражданам медицинской помощи, в целом по субъекту Российской Федерации, а также по профилям медицинской 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Фактическая среднегодовая занятость койки (Д) рассчитывается следующим образом: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 = 365 дней в году -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2925" cy="190500"/>
            <wp:effectExtent l="19050" t="0" r="9525" b="0"/>
            <wp:docPr id="2" name="Рисунок 2" descr="http://www.garant.ru/files/0/5/1198050/pict23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0/5/1198050/pict23-7184412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1"/>
          <w:szCs w:val="21"/>
        </w:rPr>
        <w:t> ,</w:t>
      </w:r>
      <w:proofErr w:type="gramEnd"/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171450"/>
            <wp:effectExtent l="0" t="0" r="9525" b="0"/>
            <wp:docPr id="3" name="Рисунок 3" descr="http://www.garant.ru/files/0/5/1198050/pict24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0/5/1198050/pict24-7184412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- среднее время простоя койки на ремонт, для расчета этого показателя необходимо общее число койко-дней закрытия на ремонт разделить на среднегодовое число развернутых коек;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171450"/>
            <wp:effectExtent l="19050" t="0" r="0" b="0"/>
            <wp:docPr id="4" name="Рисунок 4" descr="http://www.garant.ru/files/0/5/1198050/pict25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0/5/1198050/pict25-7184412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- простой койки, то есть время, необходимое на санитарно-гигиеническую обработку;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 - плановый оборот койки (число пролеченных больных на одной койке за год).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Плановый оборот койки (F) рассчитывается следующим образом: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57225" cy="409575"/>
            <wp:effectExtent l="19050" t="0" r="0" b="0"/>
            <wp:docPr id="5" name="Рисунок 5" descr="http://www.garant.ru/files/0/5/1198050/pict26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0/5/1198050/pict26-7184412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 - средние сроки лечения.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Общепрофильные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выездные бригады скорой медицинской помощи рекомендуется формировать исходя из следующих примерных нормативов: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районах компактного проживания населения (с высокой плотностью населения) при длине радиуса обслуживания равной 20 км - 1 бригада на 10 тыс. чел. обслуживаемого взрослого населения, 1 бригада на 10 тыс. чел. обслуживаемого детского населения;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районах с низкой плотностью населения при длине радиуса территории обслуживания равной 30 км - 1 бригада на 9 тыс. чел. населения, 40 км - 1 бригада на 8 тыс. чел. населения, 50 км - 1 бригада на 7 тыс. населения, свыше 50 км - 1 бригада на 6 тыс. чел. населения.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Специализированные выездные бригады скорой медицинской помощи рекомендуется формировать исходя из примерного норматива - 1 бригада на каждые 100 тыс. чел. обслуживаемого населения.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целях полного и своевременного удовлетворения потребности населения в лекарственных препаратах для медицинского применения на территории субъекта Российской Федерации рекомендуется планировать размещение аптечных организаций, площадей индивидуальных предпринимателей, имеющих лицензию на фармацевтическую деятельность,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отсутствуют аптечные организации, с учетом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пешеходно-транспортной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доступности.</w:t>
      </w:r>
    </w:p>
    <w:p w:rsidR="009A1EA6" w:rsidRDefault="009A1EA6" w:rsidP="009A1EA6">
      <w:pPr>
        <w:pStyle w:val="toleft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*(1) Для медицинских организаций, оказывающих медицинскую помощь в стационарных условиях, число коек определяется исходя из территориальных нормативов объемов медицинской помощи, с учетом уровня медицинской организации и профилей оказываемой медицинской 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*(2) Приказ Министерства здравоохранения и социального развития Российской Федерации от 17 мая 2012 г. N 555н "Об утверждении номенклатуры коечного фонда по профилям медицинской помощи" (зарегистрирован Министерством юстиции Российской Федерации 4 июня 2012 г., регистрационный N 24440) с изменениями, внесенными приказом Министерства здравоохранения Российской Федерации от 16 декабря 2014 г. N 843н (зарегистрирован Министерством юстиции Российской Федерации 14 января 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г., регистрационный N 35536).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*(3) Приказ Министерства здравоохранения Российской Федерации от 26 июня 2014 г. N 322 "О методике расчета потребности во врачебных кадрах".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*(4) Приказ Министерства здравоохранения Российской Федерации от 14 февраля 2018 г. N 73 "О методике расчета потребности в специалистах со средним профессиональным (медицинским) образованием".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*(5) Приказ Министерства здравоохранения Российской Федерации от 27 февраля 2016 г. N 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 41485).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*(6) Приказ Министерства здравоохранения Российской Федерации от 6 августа 2013 г. N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N 29950).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*(7) Оказание медицинской помощи по профилю "акушерство-гинекология" осуществляется в медицинских организациях, отнесенных к соответствующим группам согласно приказу Министерства здравоохранения Российской Федерации от 1 ноября 2012 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 г., регистрационный N 27960) с изменениями, внесенными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приказами Министерства здравоохранения Российской Федерации от 17 января 2014 г. N 25н (зарегистрирован Министерством юстиции Российской Федерации 19 марта 2014 г., регистрационный N 31644), от 11 июня 2015 г. N 333н (зарегистрирован Министерством юстиции Российской Федерации 10 июля 2015 г., регистрационный N 37983), от 12 января 2016 г. N 5н (зарегистрирован Министерством юстиции Российской Федерации 10 февраля 2016 г., регистрационный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 41053).</w:t>
      </w:r>
      <w:proofErr w:type="gramEnd"/>
    </w:p>
    <w:p w:rsidR="009A1EA6" w:rsidRDefault="009A1EA6" w:rsidP="009A1EA6">
      <w:pPr>
        <w:pStyle w:val="2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1" w:name="review"/>
      <w:bookmarkEnd w:id="1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9A1EA6" w:rsidRDefault="009A1EA6" w:rsidP="009A1EA6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std="t" o:hrnoshade="t" o:hr="t" fillcolor="black" stroked="f"/>
        </w:pic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органов исполнительной власти регионов разработаны методические рекомендации по расчету нормативов и норм ресурсной обеспеченности населения в сфере здравоохранения и определению потребности в медицинских организациях.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Нормы ресурсной обеспеченности населения в сфере здравоохранения рекомендуется рассчитывать с учетом нормативов объемов медпомощи в расчете на одного жителя, установленных территориальной программой госгарантий бесплатного оказания гражданам медпомощи.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Регионы самостоятельно могут определять возможности применения нормативов и норм в зависимости от особенностей половозрастного состава населения, уровня и структуры заболеваемости и смертности населения, климатических и географических особенностей региона, транспортной доступности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медорганизаций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сбалансированности объема медпомощи, оказываемой в рамках территориальной программы госгарантий бесплатного оказания гражданам медпомощи.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определения потребности в мощностях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медорганизаций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оказывающих медпомощь в условиях дневного стационара и в стационарных условиях, рекомендуется рассчитывать обеспеченность коечным фондом по каждому профилю медпомощи.</w:t>
      </w:r>
    </w:p>
    <w:p w:rsid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Приведены примерные нормативы формирования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общепрофильных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выездных бригад скорой медпомощи.</w:t>
      </w:r>
    </w:p>
    <w:p w:rsidR="006E6D3B" w:rsidRPr="009A1EA6" w:rsidRDefault="009A1EA6" w:rsidP="009A1EA6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Даны рекомендации по планированию размещения аптечных организаций.</w:t>
      </w:r>
    </w:p>
    <w:sectPr w:rsidR="006E6D3B" w:rsidRPr="009A1EA6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609D4"/>
    <w:multiLevelType w:val="multilevel"/>
    <w:tmpl w:val="7CE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183F3F"/>
    <w:rsid w:val="0035532D"/>
    <w:rsid w:val="003838F1"/>
    <w:rsid w:val="003D2872"/>
    <w:rsid w:val="003E1DED"/>
    <w:rsid w:val="004876B7"/>
    <w:rsid w:val="006D7C54"/>
    <w:rsid w:val="009136B5"/>
    <w:rsid w:val="00980BC4"/>
    <w:rsid w:val="009A1EA6"/>
    <w:rsid w:val="00E64698"/>
    <w:rsid w:val="00EB30F3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next w:val="a"/>
    <w:link w:val="10"/>
    <w:uiPriority w:val="9"/>
    <w:qFormat/>
    <w:rsid w:val="00E6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  <w:style w:type="paragraph" w:customStyle="1" w:styleId="pc">
    <w:name w:val="pc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8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1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9A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7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44124/" TargetMode="External"/><Relationship Id="rId13" Type="http://schemas.openxmlformats.org/officeDocument/2006/relationships/hyperlink" Target="http://www.garant.ru/products/ipo/prime/doc/71844124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844124/" TargetMode="External"/><Relationship Id="rId12" Type="http://schemas.openxmlformats.org/officeDocument/2006/relationships/hyperlink" Target="http://www.garant.ru/products/ipo/prime/doc/71844124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44124/" TargetMode="External"/><Relationship Id="rId11" Type="http://schemas.openxmlformats.org/officeDocument/2006/relationships/hyperlink" Target="http://www.garant.ru/products/ipo/prime/doc/71844124/" TargetMode="External"/><Relationship Id="rId5" Type="http://schemas.openxmlformats.org/officeDocument/2006/relationships/hyperlink" Target="http://www.garant.ru/products/ipo/prime/doc/71844124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garant.ru/products/ipo/prime/doc/718441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44124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2018-09-13T09:14:00Z</dcterms:created>
  <dcterms:modified xsi:type="dcterms:W3CDTF">2018-09-13T09:14:00Z</dcterms:modified>
</cp:coreProperties>
</file>